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0"/>
        <w:jc w:val="center"/>
        <w:textAlignment w:val="auto"/>
        <w:rPr>
          <w:rFonts w:ascii="方正小标宋简体" w:eastAsia="方正小标宋简体" w:cs="方正小标宋简体" w:hint="eastAsia"/>
          <w:color w:val="000000"/>
          <w:kern w:val="2"/>
          <w:sz w:val="44"/>
          <w:szCs w:val="44"/>
          <w:vertAlign w:val="baseline"/>
          <w14:textFill>
            <w14:solidFill>
              <w14:srgbClr w14:val="000000"/>
            </w14:solidFill>
          </w14:textFill>
          <w:lang w:val="en-US" w:eastAsia="zh-CN" w:bidi="ar-SA"/>
        </w:rPr>
      </w:pP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0"/>
        <w:jc w:val="center"/>
        <w:textAlignment w:val="auto"/>
        <w:rPr>
          <w:rFonts w:ascii="方正小标宋简体" w:eastAsia="方正小标宋简体" w:cs="方正小标宋简体" w:hint="eastAsia"/>
          <w:color w:val="000000"/>
          <w:kern w:val="2"/>
          <w:sz w:val="44"/>
          <w:szCs w:val="44"/>
          <w:vertAlign w:val="baseline"/>
          <w14:textFill>
            <w14:solidFill>
              <w14:srgbClr w14:val="000000"/>
            </w14:solidFill>
          </w14:textFill>
          <w:lang w:val="en-US" w:eastAsia="zh-CN" w:bidi="ar-SA"/>
        </w:rPr>
      </w:pPr>
      <w:r>
        <w:rPr>
          <w:rFonts w:ascii="方正小标宋简体" w:eastAsia="方正小标宋简体" w:cs="方正小标宋简体" w:hint="eastAsia"/>
          <w:color w:val="000000"/>
          <w:kern w:val="2"/>
          <w:sz w:val="44"/>
          <w:szCs w:val="44"/>
          <w:vertAlign w:val="baseline"/>
          <w14:textFill>
            <w14:solidFill>
              <w14:srgbClr w14:val="000000"/>
            </w14:solidFill>
          </w14:textFill>
          <w:lang w:val="en-US" w:eastAsia="zh-CN" w:bidi="ar-SA"/>
        </w:rPr>
        <w:t>关于公布青海省退役军人、其他优抚对象优待证持证人优待目录清单（第一批）的公告</w:t>
      </w: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0"/>
        <w:jc w:val="both"/>
        <w:textAlignment w:val="auto"/>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0"/>
        <w:jc w:val="both"/>
        <w:textAlignment w:val="auto"/>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pPr>
      <w:r>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t>全省广大退役军人和其他优抚对象：</w:t>
      </w: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0"/>
        <w:jc w:val="both"/>
        <w:textAlignment w:val="auto"/>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pPr>
      <w:r>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t>      为深入贯彻落实习近平新时代中国特色社会主义思想和习近平总书记关于退役军人工作的重要论述，让军人成为全社会尊崇的职业，让退役军人成为全社会尊重的人，全省各级退役军人事务部门广泛动员社会力量为退役军人和其他优抚对象提供各类优惠优待服务。在中国人民解放军建军96周年之际，现面向社会公布青海省第一批优待目录清单，该清单内容涉及公共交通、文化旅游、通讯服务、商品超市、餐饮住宿、生活服务、医疗康养7大类，共计150项。广大退役军人和其他优抚对象可持优待证享受相应优待优惠服务。</w:t>
      </w: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0"/>
        <w:jc w:val="both"/>
        <w:textAlignment w:val="auto"/>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pP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Chars="200" w:firstLine="640"/>
        <w:jc w:val="both"/>
        <w:textAlignment w:val="auto"/>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pPr>
      <w:r>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t>附件：青海省退役军人、其他优抚对象优待证持证人优待目录清单（第一批）</w:t>
      </w: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Chars="200" w:firstLine="640"/>
        <w:jc w:val="both"/>
        <w:textAlignment w:val="auto"/>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pP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Chars="200" w:firstLine="640"/>
        <w:jc w:val="both"/>
        <w:textAlignment w:val="auto"/>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pP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0"/>
        <w:jc w:val="center"/>
        <w:textAlignment w:val="auto"/>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pPr>
      <w:r>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t xml:space="preserve">                            青海省退役军人事务厅  </w:t>
      </w:r>
    </w:p>
    <w:p>
      <w:pPr>
        <w:pStyle w:val="17"/>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0"/>
        <w:jc w:val="center"/>
        <w:textAlignment w:val="auto"/>
        <w:rPr>
          <w:rFonts w:ascii="仿宋_GB2312" w:eastAsia="仿宋_GB2312" w:cs="仿宋_GB2312"/>
          <w:color w:val="000000"/>
          <w:kern w:val="2"/>
          <w:sz w:val="32"/>
          <w:szCs w:val="32"/>
          <w:vertAlign w:val="baseline"/>
          <w14:textFill>
            <w14:solidFill>
              <w14:srgbClr w14:val="000000"/>
            </w14:solidFill>
          </w14:textFill>
          <w:lang w:val="en-US" w:eastAsia="zh-CN" w:bidi="ar-SA"/>
        </w:rPr>
      </w:pPr>
      <w:r>
        <w:rPr>
          <w:rFonts w:ascii="仿宋_GB2312" w:eastAsia="仿宋_GB2312" w:cs="仿宋_GB2312" w:hint="eastAsia"/>
          <w:color w:val="000000"/>
          <w:kern w:val="2"/>
          <w:sz w:val="32"/>
          <w:szCs w:val="32"/>
          <w:vertAlign w:val="baseline"/>
          <w14:textFill>
            <w14:solidFill>
              <w14:srgbClr w14:val="000000"/>
            </w14:solidFill>
          </w14:textFill>
          <w:lang w:val="en-US" w:eastAsia="zh-CN" w:bidi="ar-SA"/>
        </w:rPr>
        <w:t xml:space="preserve">                             2023年8月1日    </w:t>
      </w:r>
    </w:p>
    <w:p>
      <w:pPr>
        <w:rPr>
          <w:rFonts w:ascii="方正小标宋简体" w:eastAsia="方正小标宋简体" w:cs="方正小标宋简体" w:hint="eastAsia"/>
          <w:color w:val="000000"/>
          <w:sz w:val="44"/>
          <w:szCs w:val="44"/>
          <w14:textFill>
            <w14:solidFill>
              <w14:srgbClr w14:val="000000"/>
            </w14:solidFill>
          </w14:textFill>
          <w:lang w:eastAsia="zh-CN"/>
        </w:rPr>
      </w:pPr>
      <w:r>
        <w:rPr>
          <w:rFonts w:ascii="方正小标宋简体" w:eastAsia="方正小标宋简体" w:cs="方正小标宋简体" w:hint="eastAsia"/>
          <w:color w:val="000000"/>
          <w:sz w:val="44"/>
          <w:szCs w:val="44"/>
          <w14:textFill>
            <w14:solidFill>
              <w14:srgbClr w14:val="000000"/>
            </w14:solidFill>
          </w14:textFill>
          <w:lang w:eastAsia="zh-CN"/>
        </w:rPr>
        <w:br w:type="page"/>
      </w:r>
    </w:p>
    <w:p>
      <w:pPr>
        <w:jc w:val="center"/>
        <w:rPr>
          <w:rFonts w:ascii="方正小标宋简体" w:eastAsia="方正小标宋简体" w:cs="方正小标宋简体" w:hint="eastAsia"/>
          <w:color w:val="000000"/>
          <w:sz w:val="44"/>
          <w:szCs w:val="44"/>
          <w14:textFill>
            <w14:solidFill>
              <w14:srgbClr w14:val="000000"/>
            </w14:solidFill>
          </w14:textFill>
          <w:lang w:eastAsia="zh-CN"/>
        </w:rPr>
      </w:pPr>
      <w:bookmarkStart w:id="0" w:name="_GoBack"/>
      <w:r>
        <w:rPr>
          <w:rFonts w:ascii="方正小标宋简体" w:eastAsia="方正小标宋简体" w:cs="方正小标宋简体" w:hint="eastAsia"/>
          <w:color w:val="000000"/>
          <w:sz w:val="44"/>
          <w:szCs w:val="44"/>
          <w14:textFill>
            <w14:solidFill>
              <w14:srgbClr w14:val="000000"/>
            </w14:solidFill>
          </w14:textFill>
          <w:lang w:eastAsia="zh-CN"/>
        </w:rPr>
        <w:t>青海省退役军人、其他优抚对象优待证持证人优待目录清单（第一批）</w:t>
      </w:r>
    </w:p>
    <w:p>
      <w:pPr>
        <w:jc w:val="center"/>
        <w:rPr>
          <w:rFonts w:ascii="楷体_GB2312" w:eastAsia="楷体_GB2312" w:cs="楷体_GB2312" w:hint="eastAsia"/>
          <w:color w:val="000000"/>
          <w:sz w:val="32"/>
          <w:szCs w:val="32"/>
          <w14:textFill>
            <w14:solidFill>
              <w14:srgbClr w14:val="000000"/>
            </w14:solidFill>
          </w14:textFill>
          <w:lang w:eastAsia="zh-CN"/>
        </w:rPr>
      </w:pPr>
      <w:bookmarkEnd w:id="0"/>
      <w:r>
        <w:rPr>
          <w:rFonts w:ascii="楷体_GB2312" w:eastAsia="楷体_GB2312" w:cs="楷体_GB2312" w:hint="eastAsia"/>
          <w:color w:val="000000"/>
          <w:sz w:val="32"/>
          <w:szCs w:val="32"/>
          <w14:textFill>
            <w14:solidFill>
              <w14:srgbClr w14:val="000000"/>
            </w14:solidFill>
          </w14:textFill>
          <w:lang w:eastAsia="zh-CN"/>
        </w:rPr>
        <w:t>（</w:t>
      </w:r>
      <w:r>
        <w:rPr>
          <w:rFonts w:ascii="楷体_GB2312" w:eastAsia="楷体_GB2312" w:cs="楷体_GB2312" w:hint="eastAsia"/>
          <w:color w:val="000000"/>
          <w:sz w:val="32"/>
          <w:szCs w:val="32"/>
          <w14:textFill>
            <w14:solidFill>
              <w14:srgbClr w14:val="000000"/>
            </w14:solidFill>
          </w14:textFill>
          <w:lang w:val="en-US" w:eastAsia="zh-CN"/>
        </w:rPr>
        <w:t>发布时间：2023年8月1日）</w:t>
      </w:r>
    </w:p>
    <w:p>
      <w:pPr>
        <w:pStyle w:val="15"/>
        <w:tabs>
          <w:tab w:val="center" w:pos="4153"/>
          <w:tab w:val="right" w:pos="8306"/>
        </w:tabs>
        <w:rPr>
          <w:rFonts w:hint="eastAsia"/>
          <w:color w:val="000000"/>
          <w14:textFill>
            <w14:solidFill>
              <w14:srgbClr w14:val="000000"/>
            </w14:solidFill>
          </w14:textFill>
          <w:lang w:eastAsia="zh-CN"/>
        </w:rPr>
      </w:pPr>
    </w:p>
    <w:p>
      <w:pPr>
        <w:ind w:firstLineChars="200" w:firstLine="640"/>
        <w:rPr>
          <w:rFonts w:ascii="黑体" w:eastAsia="黑体" w:cs="黑体" w:hint="eastAsia"/>
          <w:color w:val="000000"/>
          <w:sz w:val="32"/>
          <w:szCs w:val="32"/>
          <w14:textFill>
            <w14:solidFill>
              <w14:srgbClr w14:val="000000"/>
            </w14:solidFill>
          </w14:textFill>
          <w:lang w:eastAsia="zh-CN"/>
        </w:rPr>
      </w:pPr>
      <w:r>
        <w:rPr>
          <w:rFonts w:ascii="黑体" w:eastAsia="黑体" w:cs="黑体" w:hint="eastAsia"/>
          <w:color w:val="000000"/>
          <w:sz w:val="32"/>
          <w:szCs w:val="32"/>
          <w14:textFill>
            <w14:solidFill>
              <w14:srgbClr w14:val="000000"/>
            </w14:solidFill>
          </w14:textFill>
          <w:lang w:eastAsia="zh-CN"/>
        </w:rPr>
        <w:t>一、公共交通类</w:t>
      </w:r>
    </w:p>
    <w:tbl>
      <w:tblPr>
        <w:jc w:val="center"/>
        <w:tblW w:w="8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96"/>
        <w:gridCol w:w="972"/>
        <w:gridCol w:w="2090"/>
        <w:gridCol w:w="3858"/>
        <w:gridCol w:w="1188"/>
      </w:tblGrid>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序号</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地区</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优待项目提供单位</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优待内容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优待对象</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西宁公交集团</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办理“乘车优待卡”后，可免费乘坐西宁主城区内普通公交，不包含网约公交、快客、城乡公交、旅游专线等非常规公交，具体线路以公交公司对外公布为准。</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面向西宁户籍的优待证持证人</w:t>
            </w:r>
          </w:p>
        </w:tc>
      </w:tr>
      <w:tr>
        <w:trPr>
          <w:trHeight w:val="292"/>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海北州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门源县公交公司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办理“公交卡”享“8.1”折。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面向门源户籍的优待证持证人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海南州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共和县公交公司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免费乘坐公交车。</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面向共和户籍的优待证持证人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玉树市公交客运有限责任公司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免费乘坐公交车。</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面向玉树州户籍的优待证持证人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玉树市三江源出租车公司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每年免费乘坐12次出租车。</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面向玉树州户籍的优待证持证人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6</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玉树州雪峰出租车公司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每年免费乘坐12次出租车。</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面向玉树州户籍的优待证持证人</w:t>
            </w:r>
          </w:p>
        </w:tc>
      </w:tr>
    </w:tbl>
    <w:p>
      <w:pPr>
        <w:keepNext w:val="0"/>
        <w:keepLines w:val="0"/>
        <w:pageBreakBefore w:val="0"/>
        <w:widowControl w:val="0"/>
        <w:kinsoku/>
        <w:wordWrap/>
        <w:overflowPunct/>
        <w:topLinePunct w:val="0"/>
        <w:autoSpaceDE/>
        <w:autoSpaceDN/>
        <w:bidi w:val="0"/>
        <w:adjustRightInd/>
        <w:snapToGrid/>
        <w:spacing w:line="320" w:lineRule="exact"/>
        <w:ind w:firstLineChars="200" w:firstLine="640"/>
        <w:textAlignment w:val="auto"/>
        <w:rPr>
          <w:rFonts w:ascii="黑体" w:eastAsia="黑体" w:cs="黑体" w:hint="eastAsia"/>
          <w:color w:val="000000"/>
          <w:sz w:val="32"/>
          <w:szCs w:val="32"/>
          <w14:textFill>
            <w14:solidFill>
              <w14:srgbClr w14:val="000000"/>
            </w14:solidFill>
          </w14:textFill>
          <w:lang w:eastAsia="zh-CN"/>
        </w:rPr>
      </w:pPr>
    </w:p>
    <w:p>
      <w:pPr>
        <w:ind w:firstLineChars="200" w:firstLine="640"/>
        <w:rPr>
          <w:rFonts w:ascii="黑体" w:eastAsia="黑体" w:cs="黑体" w:hint="eastAsia"/>
          <w:color w:val="000000"/>
          <w:sz w:val="32"/>
          <w:szCs w:val="32"/>
          <w14:textFill>
            <w14:solidFill>
              <w14:srgbClr w14:val="000000"/>
            </w14:solidFill>
          </w14:textFill>
          <w:lang w:eastAsia="zh-CN"/>
        </w:rPr>
      </w:pPr>
      <w:r>
        <w:rPr>
          <w:rFonts w:ascii="黑体" w:eastAsia="黑体" w:cs="黑体" w:hint="eastAsia"/>
          <w:color w:val="000000"/>
          <w:sz w:val="32"/>
          <w:szCs w:val="32"/>
          <w14:textFill>
            <w14:solidFill>
              <w14:srgbClr w14:val="000000"/>
            </w14:solidFill>
          </w14:textFill>
          <w:lang w:eastAsia="zh-CN"/>
        </w:rPr>
        <w:t>二、文化旅游类</w:t>
      </w:r>
    </w:p>
    <w:tbl>
      <w:tblPr>
        <w:jc w:val="cente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96"/>
        <w:gridCol w:w="975"/>
        <w:gridCol w:w="2060"/>
        <w:gridCol w:w="3920"/>
        <w:gridCol w:w="1154"/>
      </w:tblGrid>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序号</w:t>
            </w:r>
          </w:p>
        </w:tc>
        <w:tc>
          <w:tcPr>
            <w:tcW w:w="975"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地区</w:t>
            </w: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景点名称</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优待内容</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优待对象</w:t>
            </w:r>
          </w:p>
        </w:tc>
      </w:tr>
      <w:tr>
        <w:trPr>
          <w:trHeight w:val="721"/>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p>
        </w:tc>
        <w:tc>
          <w:tcPr>
            <w:tcW w:w="975"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西宁青藏高原野生动物园</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免首道门票。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668"/>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浦宁之珠（高原明珠）</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w:t>
            </w:r>
          </w:p>
        </w:tc>
        <w:tc>
          <w:tcPr>
            <w:tcW w:w="975"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青藏高原自然博物馆</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昆仑玉文化博物馆</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764"/>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5</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青海藏医药文化博物馆</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669"/>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6</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大通老爷山风景名胜区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7</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大通国家森林公园鹞子沟风景区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8</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娘娘山景区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9</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边麻沟花海</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10</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青海藏文化馆</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11</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西宁市上山庄花海景区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12</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青海千紫缘农业科技博览园</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13</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大黑沟旅游景区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rPr>
          <w:trHeight w:val="472"/>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14</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宗家沟旅游景区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15</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日月山旅游景区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rPr>
          <w:trHeight w:val="764"/>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16</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西宁大美公交旅游有限公司</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出省组团旅游在原报价基础上享9折优惠，个人或单位旅游包车根据路程远近给予低于市场价格的优惠。</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705"/>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17</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青海启轩旅游文化有限公司</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西北旅游大小环线8折优惠，省外旅游线路9折优惠。</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18</w:t>
            </w:r>
          </w:p>
        </w:tc>
        <w:tc>
          <w:tcPr>
            <w:tcW w:w="975"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海西州</w:t>
            </w: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茶卡盐湖景区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门票享9.0折优惠。</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19</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茶卡壹号·盐湖景区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门票享9.0折优惠。</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20</w:t>
            </w:r>
          </w:p>
        </w:tc>
        <w:tc>
          <w:tcPr>
            <w:tcW w:w="975"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海北州</w:t>
            </w: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门源聚羊沟景区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21</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花海鸳鸯景区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22</w:t>
            </w:r>
          </w:p>
        </w:tc>
        <w:tc>
          <w:tcPr>
            <w:tcW w:w="975"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海北州</w:t>
            </w: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照壁山景区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23</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鱼儿山景区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24</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园山观花台景区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90"/>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25</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卓尔山景区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26</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阿咪东索景区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27</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峨堡遗址</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28</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鹿厂景区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29</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王洛宾音乐艺术馆</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30</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上星站、地下指挥中心、爆破试验场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31</w:t>
            </w:r>
          </w:p>
        </w:tc>
        <w:tc>
          <w:tcPr>
            <w:tcW w:w="975"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海南州</w:t>
            </w: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贵德中华福运轮景区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32</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贵德黄河奇石苑景区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33</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贵德美地花田景区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34</w:t>
            </w:r>
          </w:p>
        </w:tc>
        <w:tc>
          <w:tcPr>
            <w:tcW w:w="975" w:type="dxa"/>
            <w:vMerge/>
            <w:tcBorders>
              <w:top w:val="single" w:sz="4" w:space="0" w:color="auto"/>
              <w:left w:val="single" w:sz="4" w:space="0" w:color="auto"/>
              <w:bottom w:val="single" w:sz="4" w:space="0" w:color="auto"/>
              <w:right w:val="single" w:sz="4" w:space="0" w:color="auto"/>
            </w:tcBorders>
            <w:noWrap/>
            <w:vAlign w:val="center"/>
          </w:tcPr>
          <w:p/>
        </w:tc>
        <w:tc>
          <w:tcPr>
            <w:tcW w:w="206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贵德宗喀拉则景区</w:t>
            </w:r>
          </w:p>
        </w:tc>
        <w:tc>
          <w:tcPr>
            <w:tcW w:w="392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免收门票。</w:t>
            </w:r>
          </w:p>
        </w:tc>
        <w:tc>
          <w:tcPr>
            <w:tcW w:w="1154"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bl>
    <w:p>
      <w:pPr>
        <w:pStyle w:val="15"/>
        <w:tabs>
          <w:tab w:val="center" w:pos="4153"/>
          <w:tab w:val="right" w:pos="8306"/>
        </w:tabs>
        <w:ind w:firstLineChars="200" w:firstLine="640"/>
        <w:rPr>
          <w:rFonts w:ascii="黑体" w:eastAsia="黑体" w:cs="黑体" w:hint="eastAsia"/>
          <w:color w:val="000000"/>
          <w:kern w:val="2"/>
          <w:sz w:val="32"/>
          <w:szCs w:val="32"/>
          <w14:textFill>
            <w14:solidFill>
              <w14:srgbClr w14:val="000000"/>
            </w14:solidFill>
          </w14:textFill>
          <w:lang w:val="en-US" w:eastAsia="zh-CN" w:bidi="ar-SA"/>
        </w:rPr>
      </w:pPr>
    </w:p>
    <w:p>
      <w:pPr>
        <w:pStyle w:val="15"/>
        <w:tabs>
          <w:tab w:val="center" w:pos="4153"/>
          <w:tab w:val="right" w:pos="8306"/>
        </w:tabs>
        <w:ind w:firstLineChars="200" w:firstLine="640"/>
        <w:rPr>
          <w:rFonts w:ascii="黑体" w:eastAsia="黑体" w:cs="黑体" w:hint="eastAsia"/>
          <w:color w:val="000000"/>
          <w:kern w:val="2"/>
          <w:sz w:val="32"/>
          <w:szCs w:val="32"/>
          <w14:textFill>
            <w14:solidFill>
              <w14:srgbClr w14:val="000000"/>
            </w14:solidFill>
          </w14:textFill>
          <w:lang w:val="en-US" w:eastAsia="zh-CN" w:bidi="ar-SA"/>
        </w:rPr>
      </w:pPr>
      <w:r>
        <w:rPr>
          <w:rFonts w:ascii="黑体" w:eastAsia="黑体" w:cs="黑体" w:hint="eastAsia"/>
          <w:color w:val="000000"/>
          <w:kern w:val="2"/>
          <w:sz w:val="32"/>
          <w:szCs w:val="32"/>
          <w14:textFill>
            <w14:solidFill>
              <w14:srgbClr w14:val="000000"/>
            </w14:solidFill>
          </w14:textFill>
          <w:lang w:val="en-US" w:eastAsia="zh-CN" w:bidi="ar-SA"/>
        </w:rPr>
        <w:t>三、通讯服务类</w:t>
      </w:r>
    </w:p>
    <w:tbl>
      <w:tblPr>
        <w:jc w:val="center"/>
        <w:tblW w:w="8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96"/>
        <w:gridCol w:w="972"/>
        <w:gridCol w:w="2090"/>
        <w:gridCol w:w="3858"/>
        <w:gridCol w:w="1188"/>
      </w:tblGrid>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序号</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地区</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优待项目提供单位</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优待内容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优待对象</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青海省</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中国移动青海</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分</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专属套餐：</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59元/月</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含：205G国内通用流量；2000分钟国内语音主叫分钟；1条百兆宽带</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（优惠期36个月）</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；1张免费副卡；和包</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支付在中石油、中石化加油，优惠0.4元/升，限每月1至10日。网上办理链接：</w:t>
            </w:r>
            <w:r>
              <w:rPr>
                <w:rFonts w:ascii="Times New Roman" w:eastAsia="仿宋_GB2312" w:cs="Times New Roman" w:hAnsi="Times New Roman"/>
                <w:color w:val="000000"/>
                <w:kern w:val="2"/>
                <w:sz w:val="15"/>
                <w:szCs w:val="15"/>
                <w:vertAlign w:val="baseline"/>
                <w14:textFill>
                  <w14:solidFill>
                    <w14:srgbClr w14:val="000000"/>
                  </w14:solidFill>
                </w14:textFill>
                <w:lang w:val="en-US" w:eastAsia="zh-CN" w:bidi="ar-SA"/>
              </w:rPr>
              <w:t>https://www.app.qh.chinamobile.com/html/2023/qh_arma/index.html</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面向全国优待证持证人</w:t>
            </w:r>
          </w:p>
        </w:tc>
      </w:tr>
      <w:tr>
        <w:trPr>
          <w:trHeight w:val="967"/>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中国联通西宁市分公司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主卡缴费 59 元，1700 分钟通话，168G 流量（60G 国内 +108G 省内），亲情卡 2张 ，宽带 1000M+TV。</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292"/>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中国电信西宁分公司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1.单手机卡:39元/月，1000分钟通话,100G流量；2.所有宽带套餐一律享受8折优惠；3.老用户：0元10G省内流量，10元50G省内流量。</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bl>
    <w:p>
      <w:pPr>
        <w:pStyle w:val="15"/>
        <w:tabs>
          <w:tab w:val="center" w:pos="4153"/>
          <w:tab w:val="right" w:pos="8306"/>
        </w:tabs>
        <w:ind w:firstLineChars="200" w:firstLine="640"/>
        <w:rPr>
          <w:rFonts w:ascii="黑体" w:eastAsia="黑体" w:cs="黑体" w:hint="eastAsia"/>
          <w:color w:val="000000"/>
          <w:kern w:val="2"/>
          <w:sz w:val="32"/>
          <w:szCs w:val="32"/>
          <w14:textFill>
            <w14:solidFill>
              <w14:srgbClr w14:val="000000"/>
            </w14:solidFill>
          </w14:textFill>
          <w:lang w:val="en-US" w:eastAsia="zh-CN" w:bidi="ar-SA"/>
        </w:rPr>
      </w:pPr>
    </w:p>
    <w:p>
      <w:pPr>
        <w:pStyle w:val="15"/>
        <w:tabs>
          <w:tab w:val="center" w:pos="4153"/>
          <w:tab w:val="right" w:pos="8306"/>
        </w:tabs>
        <w:ind w:firstLineChars="200" w:firstLine="640"/>
        <w:rPr>
          <w:rFonts w:ascii="黑体" w:eastAsia="黑体" w:cs="黑体" w:hint="eastAsia"/>
          <w:color w:val="000000"/>
          <w:kern w:val="2"/>
          <w:sz w:val="32"/>
          <w:szCs w:val="32"/>
          <w14:textFill>
            <w14:solidFill>
              <w14:srgbClr w14:val="000000"/>
            </w14:solidFill>
          </w14:textFill>
          <w:lang w:val="en-US" w:eastAsia="zh-CN" w:bidi="ar-SA"/>
        </w:rPr>
      </w:pPr>
      <w:r>
        <w:rPr>
          <w:rFonts w:ascii="黑体" w:eastAsia="黑体" w:cs="黑体" w:hint="eastAsia"/>
          <w:color w:val="000000"/>
          <w:kern w:val="2"/>
          <w:sz w:val="32"/>
          <w:szCs w:val="32"/>
          <w14:textFill>
            <w14:solidFill>
              <w14:srgbClr w14:val="000000"/>
            </w14:solidFill>
          </w14:textFill>
          <w:lang w:val="en-US" w:eastAsia="zh-CN" w:bidi="ar-SA"/>
        </w:rPr>
        <w:t>四、商品超市类</w:t>
      </w:r>
    </w:p>
    <w:tbl>
      <w:tblPr>
        <w:jc w:val="center"/>
        <w:tblW w:w="8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96"/>
        <w:gridCol w:w="972"/>
        <w:gridCol w:w="2090"/>
        <w:gridCol w:w="3858"/>
        <w:gridCol w:w="1188"/>
      </w:tblGrid>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序号</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地区</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优待项目提供单位</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优待内容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优待对象</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纺织品百货大楼</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“八一建军节”专享活动。</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每日尊享免费停车1小时优惠福利。</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生日当天赠送生日礼品一份。</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免费租赁婴儿车、轮椅、雨伞、礼品免费包装服务。</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5.部分品牌提供的优待项目以商场公布的海报为准。</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青海华联综合超市</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1.日常购物享受9.5折优惠。2.五一劳动节、中秋节、国庆节、元旦、春节购物享受9.0折优惠。3.八一建军节购物享受8.5折优惠。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292"/>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西宁王府井百货</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鞋服类（部分品牌) 折上9.5折</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餐饮 满100元减10元</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水吧 指定款买一杯送一杯</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美发 剪发立减20元</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青海新华百货</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全场享9.5折优惠</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全场服饰、餐饮商户享折后立减50元优惠</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青海一家亲</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超市</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1.日常消费享受9.8折优惠</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2.“八一建军节”当天消费享受9.5折优惠</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6</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青海苏宁易购销售有限公司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一、</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专属</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消费券</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 xml:space="preserve"> 。凭优待证等证件，可到苏宁易购任意一家门店参与补贴（在最低消费价基础上补贴），消费每满1000元补帖100元，最高补贴3000元。</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二、</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服务方面。退役军人及家属请可到苏宁易购任意一家门店享受：1.享受店长VIP导购，售前售中售后全程跟踪服务；2、新房免费赠送预埋烟管、止逆阀/家电方案上门设计；3、彩电安装费5折</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1044"/>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万达广场</w:t>
            </w:r>
          </w:p>
        </w:tc>
        <w:tc>
          <w:tcPr>
            <w:tcW w:w="3858" w:type="dxa"/>
            <w:tcBorders>
              <w:top w:val="single" w:sz="4" w:space="0" w:color="auto"/>
              <w:left w:val="single" w:sz="4" w:space="0" w:color="auto"/>
              <w:bottom w:val="single" w:sz="4" w:space="0" w:color="auto"/>
              <w:right w:val="single" w:sz="4" w:space="0" w:color="auto"/>
            </w:tcBorders>
            <w:noWrap/>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广场、商圈内部分品牌、商铺提供满减、折扣、补贴等活动；包括消费直降、消费赠送等服务。具体优待内容以广场内宣传海报为准。</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1044"/>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王府井生活广场</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广场、商圈内部分品牌、商铺提供满减、折扣、补贴等活动；包括消费直降、消费赠送等服务。具体优待内容以广场内宣传海报为准。</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9</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中发源商圈</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广场、商圈内部分品牌、商铺提供满减、折扣、补贴等活动；包括消费直降、消费赠送等服务。具体优待内容以广场内宣传海报为准。</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10</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大西门书城</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全场图书8折（除工具书 杂志 英语书籍 ）。</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11</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海北州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门源县生鲜“好家乡”超市</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购物享受8.5折。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369"/>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12</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海北州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门源县“好家乡”超市</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购物享受8.5折。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13</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门源县“大润发”超市</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购物享受8.5折。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14</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果洛州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班玛县德吉购物广场</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满100，享9折优惠（除烟酒及特价商品）。</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班玛县永盛超市</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满100，享9折优惠（除烟酒及特价商品）。</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16</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eastAsia="zh-CN" w:bidi="ar-SA"/>
              </w:rPr>
              <w:t>玉树</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市</w:t>
            </w:r>
            <w:r>
              <w:rPr>
                <w:rFonts w:ascii="仿宋_GB2312" w:eastAsia="仿宋_GB2312" w:cs="仿宋_GB2312" w:hint="eastAsia"/>
                <w:color w:val="000000"/>
                <w:kern w:val="2"/>
                <w:sz w:val="15"/>
                <w:szCs w:val="15"/>
                <w:vertAlign w:val="baseline"/>
                <w14:textFill>
                  <w14:solidFill>
                    <w14:srgbClr w14:val="000000"/>
                  </w14:solidFill>
                </w14:textFill>
                <w:lang w:eastAsia="zh-CN" w:bidi="ar-SA"/>
              </w:rPr>
              <w:t>新家家乐民族生活商超有限公司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享受9.5折优惠。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玉树市</w:t>
            </w:r>
            <w:r>
              <w:rPr>
                <w:rFonts w:ascii="仿宋_GB2312" w:eastAsia="仿宋_GB2312" w:cs="仿宋_GB2312" w:hint="eastAsia"/>
                <w:color w:val="000000"/>
                <w:kern w:val="2"/>
                <w:sz w:val="15"/>
                <w:szCs w:val="15"/>
                <w:vertAlign w:val="baseline"/>
                <w14:textFill>
                  <w14:solidFill>
                    <w14:srgbClr w14:val="000000"/>
                  </w14:solidFill>
                </w14:textFill>
                <w:lang w:eastAsia="zh-CN" w:bidi="ar-SA"/>
              </w:rPr>
              <w:t>季季鲜生鲜超市</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享受9.0折优惠。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eastAsia="zh-CN" w:bidi="ar-SA"/>
              </w:rPr>
              <w:t>玉树</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市</w:t>
            </w:r>
            <w:r>
              <w:rPr>
                <w:rFonts w:ascii="仿宋_GB2312" w:eastAsia="仿宋_GB2312" w:cs="仿宋_GB2312" w:hint="eastAsia"/>
                <w:color w:val="000000"/>
                <w:kern w:val="2"/>
                <w:sz w:val="15"/>
                <w:szCs w:val="15"/>
                <w:vertAlign w:val="baseline"/>
                <w14:textFill>
                  <w14:solidFill>
                    <w14:srgbClr w14:val="000000"/>
                  </w14:solidFill>
                </w14:textFill>
                <w:lang w:eastAsia="zh-CN" w:bidi="ar-SA"/>
              </w:rPr>
              <w:t>华龙宜嘉商贸有限公司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享受9.0折优惠。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bl>
    <w:p>
      <w:pPr>
        <w:pStyle w:val="15"/>
        <w:tabs>
          <w:tab w:val="center" w:pos="4153"/>
          <w:tab w:val="right" w:pos="8306"/>
        </w:tabs>
        <w:ind w:firstLineChars="200" w:firstLine="640"/>
        <w:rPr>
          <w:rFonts w:ascii="黑体" w:eastAsia="黑体" w:cs="黑体" w:hint="eastAsia"/>
          <w:color w:val="000000"/>
          <w:kern w:val="2"/>
          <w:sz w:val="32"/>
          <w:szCs w:val="32"/>
          <w14:textFill>
            <w14:solidFill>
              <w14:srgbClr w14:val="000000"/>
            </w14:solidFill>
          </w14:textFill>
          <w:lang w:val="en-US" w:eastAsia="zh-CN" w:bidi="ar-SA"/>
        </w:rPr>
      </w:pPr>
    </w:p>
    <w:p>
      <w:pPr>
        <w:pStyle w:val="15"/>
        <w:tabs>
          <w:tab w:val="center" w:pos="4153"/>
          <w:tab w:val="right" w:pos="8306"/>
        </w:tabs>
        <w:ind w:firstLineChars="200" w:firstLine="640"/>
        <w:rPr>
          <w:rFonts w:ascii="黑体" w:eastAsia="黑体" w:cs="黑体" w:hint="eastAsia"/>
          <w:color w:val="000000"/>
          <w:kern w:val="2"/>
          <w:sz w:val="32"/>
          <w:szCs w:val="32"/>
          <w14:textFill>
            <w14:solidFill>
              <w14:srgbClr w14:val="000000"/>
            </w14:solidFill>
          </w14:textFill>
          <w:lang w:val="en-US" w:eastAsia="zh-CN" w:bidi="ar-SA"/>
        </w:rPr>
      </w:pPr>
      <w:r>
        <w:rPr>
          <w:rFonts w:ascii="黑体" w:eastAsia="黑体" w:cs="黑体" w:hint="eastAsia"/>
          <w:color w:val="000000"/>
          <w:kern w:val="2"/>
          <w:sz w:val="32"/>
          <w:szCs w:val="32"/>
          <w14:textFill>
            <w14:solidFill>
              <w14:srgbClr w14:val="000000"/>
            </w14:solidFill>
          </w14:textFill>
          <w:lang w:val="en-US" w:eastAsia="zh-CN" w:bidi="ar-SA"/>
        </w:rPr>
        <w:t>五、餐饮住宿类</w:t>
      </w:r>
    </w:p>
    <w:tbl>
      <w:tblPr>
        <w:jc w:val="center"/>
        <w:tblW w:w="8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96"/>
        <w:gridCol w:w="972"/>
        <w:gridCol w:w="2090"/>
        <w:gridCol w:w="3858"/>
        <w:gridCol w:w="1188"/>
      </w:tblGrid>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序号</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地区</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优待项目提供单位</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优待内容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优待对象</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青海福茵长乐国际大酒店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入住享受 7 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西湖宾馆</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入住享受8 折优惠，每日赠送一份水果或精美糕点。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292"/>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宜采凯旋酒店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1.住房享受门市价 8 折优惠。2.延迟至 14：00 退房。3.餐厅点菜享受 9 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芭啦娜品质酒店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入住酒店享受 8 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伊尔顿国际饭店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1.住房享受门市价 8 折优惠。2.延迟至 14:00 退房。3.餐厅点餐享受 9 折优惠及赠送水果拼盘。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6</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英德尔酒店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1.住宿酒店免费停车。2.免费升级</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酒店 VIP 早餐。3.住宿可享受酒店前台价的 8 折优惠。4.酒店内用餐可享受菜品价 9.5 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维宸大酒店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1.延迟至14:00 退房。2.赠送首住欢迎水果和酸奶。3.免费提供复印、打印等商务服务。4.本人生日当天，赠送长寿面一碗、生日蛋糕一份。5.10 人以上内含 10 人的餐桌消费，全单 8.8 折（包含酒水）。</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西宁蕾蒂森国际大酒店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在本酒店住宿享受住宿、用餐7折。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9</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锦江都城酒店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享受客房及会议室7折优惠。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10</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桔子酒店胜利路人民公园店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全房型房费8.5折含双早。</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11</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汉庭青大附院酒店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全部客房享受门市价8.5折优惠，免费早餐。</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虎台酒店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住宿享受8.5折。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13</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交通花苑酒店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住宿会议享受7折优惠。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14</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湟中香巴林卡酒店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住宿、餐饮均享受9.5折优惠。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湟源县丹城酒店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住宿可享受7折优惠。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16</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湟源县开元假日宾馆</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住宿可享受7折优惠。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大通县假日酒店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住宿享受7折优惠。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大通县金朔山大酒店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住宿享受7折优惠。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837"/>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19</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海东市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海东市平安区海韵酒店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1.享受酒店当日门市价8折优惠入住，2.入住人员配偶可凭结婚证随行入住享受同等优惠政策。</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755"/>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20</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海东市乐都区东全海悦酒店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享受酒店当日门市价7.5折优惠入住。</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720"/>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21</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海东市互助县高峰餐饮服务有限公司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享受酒店当日门市价8折优惠入住。</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947"/>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循化县世杰大厦</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享受当日房价8.8折优惠。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1594"/>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23</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海西州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格尔木黄河国际大酒店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1</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.退役军人</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均为酒店白金卡会员，赠送欢迎水果。</w:t>
            </w:r>
          </w:p>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2</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因公出差</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退役军人</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按照差旅住宿标准</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收费。</w:t>
            </w:r>
          </w:p>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3</w:t>
            </w: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.服役期间荣立</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二等功及以上荣誉者享受免费入住（首晚）。</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w:t>
            </w:r>
            <w:r>
              <w:rPr>
                <w:rFonts w:ascii="仿宋_GB2312" w:eastAsia="仿宋_GB2312" w:cs="仿宋_GB2312"/>
                <w:color w:val="000000"/>
                <w:kern w:val="2"/>
                <w:sz w:val="15"/>
                <w:szCs w:val="15"/>
                <w:vertAlign w:val="baseline"/>
                <w14:textFill>
                  <w14:solidFill>
                    <w14:srgbClr w14:val="000000"/>
                  </w14:solidFill>
                </w14:textFill>
                <w:lang w:val="en-US" w:eastAsia="zh-CN" w:bidi="ar-SA"/>
              </w:rPr>
              <w:t>餐厅、健身房、咖啡厅，建军节当日享受8.1折优惠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632"/>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24</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格尔木纯珏酒店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住宿、餐饮均享9折优惠。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641"/>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格尔木居丰商务酒店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住宿享5折优惠、餐饮享8.5折优惠。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26</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海西州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茫崖市青茫品质酒店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享受网上价的6折优惠。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茫崖市金坤大酒店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享受网上价的6折优惠。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茫崖市茫州大酒店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享受网上价的6折优惠。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29</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茫崖市游者民宿</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享受网上价的6折优惠。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30</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茫崖市雅丹之星大酒店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享受网上价的6折优惠。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31</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海北州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门源县星辰酒店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享受8.1折优惠。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门源县浩云酒店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享受8.1折优惠。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33</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门源县格林上品酒店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享受8.1折优惠。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34</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门源县天一酒店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享受8.1折优惠。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刚察县鸿湖大酒店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享受9.0折优惠。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36</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海晏县海北宾馆</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608"/>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海晏县金昊假日宾馆</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海晏大酒店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39</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海晏王府宾馆</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40</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海晏县青泰商务酒店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41</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海晏县阿克顿巴酒店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海晏县银滩商务宾馆</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43</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w:t>
            </w:r>
            <w:r>
              <w:rPr>
                <w:rFonts w:ascii="仿宋_GB2312" w:eastAsia="仿宋_GB2312" w:cs="仿宋_GB2312" w:hint="eastAsia"/>
                <w:color w:val="000000"/>
                <w:kern w:val="2"/>
                <w:sz w:val="15"/>
                <w:szCs w:val="15"/>
                <w:vertAlign w:val="baseline"/>
                <w14:textFill>
                  <w14:solidFill>
                    <w14:srgbClr w14:val="000000"/>
                  </w14:solidFill>
                </w14:textFill>
                <w:lang w:eastAsia="zh-CN" w:bidi="ar-SA"/>
              </w:rPr>
              <w:t>香格里拉酒店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一等功、二等功免费入住，退役军人及家属享受协议价200元。</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44</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w:t>
            </w:r>
            <w:r>
              <w:rPr>
                <w:rFonts w:ascii="仿宋_GB2312" w:eastAsia="仿宋_GB2312" w:cs="仿宋_GB2312" w:hint="eastAsia"/>
                <w:color w:val="000000"/>
                <w:kern w:val="2"/>
                <w:sz w:val="15"/>
                <w:szCs w:val="15"/>
                <w:vertAlign w:val="baseline"/>
                <w14:textFill>
                  <w14:solidFill>
                    <w14:srgbClr w14:val="000000"/>
                  </w14:solidFill>
                </w14:textFill>
                <w:lang w:eastAsia="zh-CN" w:bidi="ar-SA"/>
              </w:rPr>
              <w:t>格萨尔王府饭店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一等功、二等功免费入住，退役军人及家属享受协议价200元。</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玉树</w:t>
            </w:r>
            <w:r>
              <w:rPr>
                <w:rFonts w:ascii="仿宋_GB2312" w:eastAsia="仿宋_GB2312" w:cs="仿宋_GB2312" w:hint="eastAsia"/>
                <w:color w:val="000000"/>
                <w:kern w:val="2"/>
                <w:sz w:val="15"/>
                <w:szCs w:val="15"/>
                <w:vertAlign w:val="baseline"/>
                <w14:textFill>
                  <w14:solidFill>
                    <w14:srgbClr w14:val="000000"/>
                  </w14:solidFill>
                </w14:textFill>
                <w:lang w:eastAsia="zh-CN" w:bidi="ar-SA"/>
              </w:rPr>
              <w:t>三江之源大酒店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现付协议价6-10月268元，7-9月368元。</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面向本省优待证持证人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46</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海南州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共和县尚源酒店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共和县维也纳国际酒店青海湖店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享受7.5折优惠。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共和县隆豪大酒店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住宿全年按照淡旺季区分，（淡季9月-5月），（旺季6月-8月）淡季价格：248元/间；旺季价格：398元/间。</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bl>
    <w:p>
      <w:pPr>
        <w:pStyle w:val="15"/>
        <w:tabs>
          <w:tab w:val="center" w:pos="4153"/>
          <w:tab w:val="right" w:pos="8306"/>
        </w:tabs>
        <w:ind w:firstLineChars="200" w:firstLine="640"/>
        <w:rPr>
          <w:rFonts w:ascii="黑体" w:eastAsia="黑体" w:cs="黑体"/>
          <w:color w:val="000000"/>
          <w:kern w:val="2"/>
          <w:sz w:val="32"/>
          <w:szCs w:val="32"/>
          <w14:textFill>
            <w14:solidFill>
              <w14:srgbClr w14:val="000000"/>
            </w14:solidFill>
          </w14:textFill>
          <w:lang w:val="en-US" w:eastAsia="zh-CN" w:bidi="ar-SA"/>
        </w:rPr>
      </w:pPr>
    </w:p>
    <w:p>
      <w:pPr>
        <w:pStyle w:val="15"/>
        <w:tabs>
          <w:tab w:val="center" w:pos="4153"/>
          <w:tab w:val="right" w:pos="8306"/>
        </w:tabs>
        <w:ind w:firstLineChars="200" w:firstLine="640"/>
        <w:rPr>
          <w:rFonts w:ascii="黑体" w:eastAsia="黑体" w:cs="黑体" w:hint="eastAsia"/>
          <w:color w:val="000000"/>
          <w:kern w:val="2"/>
          <w:sz w:val="32"/>
          <w:szCs w:val="32"/>
          <w14:textFill>
            <w14:solidFill>
              <w14:srgbClr w14:val="000000"/>
            </w14:solidFill>
          </w14:textFill>
          <w:lang w:val="en-US" w:eastAsia="zh-CN" w:bidi="ar-SA"/>
        </w:rPr>
      </w:pPr>
      <w:r>
        <w:rPr>
          <w:rFonts w:ascii="黑体" w:eastAsia="黑体" w:cs="黑体" w:hint="eastAsia"/>
          <w:color w:val="000000"/>
          <w:kern w:val="2"/>
          <w:sz w:val="32"/>
          <w:szCs w:val="32"/>
          <w14:textFill>
            <w14:solidFill>
              <w14:srgbClr w14:val="000000"/>
            </w14:solidFill>
          </w14:textFill>
          <w:lang w:val="en-US" w:eastAsia="zh-CN" w:bidi="ar-SA"/>
        </w:rPr>
        <w:t>六、生活服务类</w:t>
      </w:r>
    </w:p>
    <w:tbl>
      <w:tblPr>
        <w:jc w:val="center"/>
        <w:tblW w:w="8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96"/>
        <w:gridCol w:w="972"/>
        <w:gridCol w:w="2090"/>
        <w:gridCol w:w="3858"/>
        <w:gridCol w:w="1188"/>
      </w:tblGrid>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序号</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地区</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优待项目提供单位</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优待内容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优待对象</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中石化（民和路加油站、韵家口加油站、八一路加油站、八一东加油站、明杏加油站）</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办理中国石化电子卡，均可享受 0.5 元 / 升优惠，此卡不享受电子券派发活动及非油折扣。</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中石油（杨家庄、德令哈、中庄站、南山站、韵家口、八一路、互助路、开发区、峡口站 、东出口加油站）</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办理中国石油电子卡，均可享受 0.5 元 /升优惠，此卡不享受电子券派发活动及非油折扣（不设定充值额度）。</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1849"/>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西宁车家汽车服务有限公司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免费项目：车辆常规检测、轮胎充气、小故障排除。</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优惠项目：洗车：轿车20元、越野车25元、5座以上及商务车30元；车辆保养、维修、轮胎、玻璃、装潢美容、钣金喷漆全部享受VIP会员价；从车家咨询后购买车辆保险可免费赠送洗车及保养。</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90"/>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青海乐众家政服务有限公司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享受9.0折优惠。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青海立詹律师事务所</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法律咨询免费、诉讼类案件代理费5-7折的优惠。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6</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青海诚嘉律师事务所</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法律咨询免费、其他各类法律服务5折优惠。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青海竞帆律师事务所</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咨询免费，代理费5折但不低于律所最低收费标准的优惠。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保利万和丽影荟国际影城</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电影票挂牌价5折优惠。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9</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大通天麒影院</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1.退役军人免费观影；2.其他优抚对象享受5折优惠观影。</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10</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大通中影星美国际影城</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1.退役军人免费观影；2.其他优抚对象享受5折优惠观影。</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11</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大通邦业影院</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1.退役军人免费观影；2.其他优抚对象享受5折优惠观影。</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12</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海北州</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门源县邮政公司、顺丰快递、韵达快递、京东快递、圆通、中通</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邮寄费享受“8.1”折。</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13</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果洛州</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中国石油班玛县加油站</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燃油每公升优惠0.3元。</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14</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海南州</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海南州巾帼家政服务公司</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享受8折优惠。</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共和县百佳国际影城</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退役军人、烈士遗属持证人购买电影票</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享受优惠价35元/张。</w:t>
            </w:r>
          </w:p>
        </w:tc>
        <w:tc>
          <w:tcPr>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bl>
    <w:p>
      <w:pPr>
        <w:pStyle w:val="15"/>
        <w:tabs>
          <w:tab w:val="center" w:pos="4153"/>
          <w:tab w:val="right" w:pos="8306"/>
        </w:tabs>
        <w:ind w:firstLineChars="200" w:firstLine="640"/>
        <w:rPr>
          <w:rFonts w:ascii="黑体" w:eastAsia="黑体" w:cs="黑体" w:hint="eastAsia"/>
          <w:color w:val="000000"/>
          <w:kern w:val="2"/>
          <w:sz w:val="32"/>
          <w:szCs w:val="32"/>
          <w14:textFill>
            <w14:solidFill>
              <w14:srgbClr w14:val="000000"/>
            </w14:solidFill>
          </w14:textFill>
          <w:lang w:val="en-US" w:eastAsia="zh-CN" w:bidi="ar-SA"/>
        </w:rPr>
      </w:pPr>
    </w:p>
    <w:p>
      <w:pPr>
        <w:pStyle w:val="15"/>
        <w:tabs>
          <w:tab w:val="center" w:pos="4153"/>
          <w:tab w:val="right" w:pos="8306"/>
        </w:tabs>
        <w:ind w:firstLineChars="200" w:firstLine="640"/>
        <w:rPr>
          <w:rFonts w:ascii="黑体" w:eastAsia="黑体" w:cs="黑体" w:hint="eastAsia"/>
          <w:color w:val="000000"/>
          <w:kern w:val="2"/>
          <w:sz w:val="32"/>
          <w:szCs w:val="32"/>
          <w14:textFill>
            <w14:solidFill>
              <w14:srgbClr w14:val="000000"/>
            </w14:solidFill>
          </w14:textFill>
          <w:lang w:val="en-US" w:eastAsia="zh-CN" w:bidi="ar-SA"/>
        </w:rPr>
      </w:pPr>
      <w:r>
        <w:rPr>
          <w:rFonts w:ascii="黑体" w:eastAsia="黑体" w:cs="黑体" w:hint="eastAsia"/>
          <w:color w:val="000000"/>
          <w:kern w:val="2"/>
          <w:sz w:val="32"/>
          <w:szCs w:val="32"/>
          <w14:textFill>
            <w14:solidFill>
              <w14:srgbClr w14:val="000000"/>
            </w14:solidFill>
          </w14:textFill>
          <w:lang w:val="en-US" w:eastAsia="zh-CN" w:bidi="ar-SA"/>
        </w:rPr>
        <w:t>七、医疗康养类</w:t>
      </w:r>
    </w:p>
    <w:tbl>
      <w:tblPr>
        <w:jc w:val="center"/>
        <w:tblW w:w="8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96"/>
        <w:gridCol w:w="972"/>
        <w:gridCol w:w="2090"/>
        <w:gridCol w:w="3858"/>
        <w:gridCol w:w="1188"/>
      </w:tblGrid>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序号</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地区</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优待项目提供单位</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优待内容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黑体" w:eastAsia="黑体" w:cs="黑体" w:hint="eastAsia"/>
                <w:color w:val="000000"/>
                <w:vertAlign w:val="baseline"/>
                <w14:textFill>
                  <w14:solidFill>
                    <w14:srgbClr w14:val="000000"/>
                  </w14:solidFill>
                </w14:textFill>
                <w:lang w:eastAsia="zh-CN"/>
              </w:rPr>
            </w:pPr>
            <w:r>
              <w:rPr>
                <w:rFonts w:ascii="黑体" w:eastAsia="黑体" w:cs="黑体" w:hint="eastAsia"/>
                <w:color w:val="000000"/>
                <w:vertAlign w:val="baseline"/>
                <w14:textFill>
                  <w14:solidFill>
                    <w14:srgbClr w14:val="000000"/>
                  </w14:solidFill>
                </w14:textFill>
                <w:lang w:eastAsia="zh-CN"/>
              </w:rPr>
              <w:t>优待对象</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西宁市城西区西关大街卫生服务中心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免除诊疗费。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西宁市城西区通海路社区卫生服务中心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免除诊疗费。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292"/>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3</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西宁市城西区妇幼保健计划生育服务中心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免除诊疗费。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4</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西宁市城西区文汇路社区卫生服务中心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免除诊疗费。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西宁市城西区虎台社区卫生服务中心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免除诊疗费。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6</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西宁市城西区古城台社区卫生服务中心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免除诊疗费。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青海仁人体检中心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享4.0折优惠。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美年大健康体检中心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退役军人及家属专用套餐5.0折。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9</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西宁康福体检中心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体检费1000元以上检一送一，可带家属体检。</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10</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青海慈铭体检中心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体检项目优惠4折。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11</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青海盈和国际体检中心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1.除部分特殊项目外，一律按5折收费。</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2.体检项目可做固定套餐，也可以自行选择项目</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青海天奕医药连锁有限公司君寿堂店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全部药品、器械9折优惠，免费吸氧、测血压、血糖</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764"/>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13</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同仁堂西宁药店有限责任公司胜利路店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除参加活动的药品及特殊药品外，其余药品均8.8折优惠。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990"/>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14</w:t>
            </w:r>
          </w:p>
        </w:tc>
        <w:tc>
          <w:tcPr>
            <w:tcW w:w="972" w:type="dxa"/>
            <w:vMerge w:val="restart"/>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西宁市</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color w:val="000000"/>
                <w:kern w:val="2"/>
                <w:sz w:val="15"/>
                <w:szCs w:val="15"/>
                <w:vertAlign w:val="baseline"/>
                <w14:textFill>
                  <w14:solidFill>
                    <w14:srgbClr w14:val="000000"/>
                  </w14:solidFill>
                </w14:textFill>
                <w:lang w:val="en-US" w:eastAsia="zh-CN" w:bidi="ar-SA"/>
              </w:rPr>
              <w:t>青海新富康医药连锁有限公司</w:t>
            </w:r>
          </w:p>
        </w:tc>
        <w:tc>
          <w:tcPr>
            <w:tcW w:w="3858" w:type="dxa"/>
            <w:tcBorders>
              <w:top w:val="single" w:sz="4" w:space="0" w:color="auto"/>
              <w:left w:val="single" w:sz="4" w:space="0" w:color="auto"/>
              <w:bottom w:val="single" w:sz="4" w:space="0" w:color="auto"/>
              <w:right w:val="single" w:sz="4" w:space="0" w:color="auto"/>
            </w:tcBorders>
            <w:noWrap/>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全场药品享受9.5折优惠；市区内免费送药服务定期健康检测服务；24小时免费咨询服务；每天免费血压测量服务。</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青海九康医药连锁有限公司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药品9.5折、免费测量血压、血脂。</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16</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青海省万益药业连锁有限公司西宁分公司</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全部药品、器械9.5折优惠、免费测血压、血糖。</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17</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西宁寿春堂药店</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所有药品（除慢病类）9折优惠，中药材、中药饮片8折优惠。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18</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摩尔德诺口腔</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免费洁牙，免500元诊疗费。</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19</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青海爱尔眼科</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基础视力检查免费、配镜优惠7至9折、屈光手术激光类术前检查5折、晶体植入术前检查7.8折，其他科室就诊检查5.7折至6.5折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20</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青海睿尔眼科医院</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免基础检查费、专家诊查费，眼病诊查费8折，配镜（国内）6折优惠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21</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西宁海湖医院</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全部项目9.5折。</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743"/>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22</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西宁城西民康医院</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门诊自费部分9折优惠，住院自费部分8折优惠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23</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湟源县高原红医养中心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体检享受8.5折优惠。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rPr>
          <w:trHeight w:val="742"/>
        </w:trP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24</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湟源县高原红颐养院</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60周岁以上退役军人就餐给予8折优惠。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25</w:t>
            </w:r>
          </w:p>
        </w:tc>
        <w:tc>
          <w:tcPr>
            <w:tcW w:w="972" w:type="dxa"/>
            <w:vMerge/>
            <w:tcBorders>
              <w:top w:val="single" w:sz="4" w:space="0" w:color="auto"/>
              <w:left w:val="single" w:sz="4" w:space="0" w:color="auto"/>
              <w:bottom w:val="single" w:sz="4" w:space="0" w:color="auto"/>
              <w:right w:val="single" w:sz="4" w:space="0" w:color="auto"/>
            </w:tcBorders>
            <w:noWrap/>
            <w:vAlign w:val="center"/>
          </w:tcP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青海恒生长者照护服务中心</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60周岁以上退役军人就餐给予8折优惠。</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r>
        <w:tc>
          <w:tcPr>
            <w:tcW w:w="396"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26</w:t>
            </w:r>
          </w:p>
        </w:tc>
        <w:tc>
          <w:tcPr>
            <w:tcW w:w="972"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海西州</w:t>
            </w:r>
          </w:p>
        </w:tc>
        <w:tc>
          <w:tcPr>
            <w:tcW w:w="2090"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格尔木仁康医院</w:t>
            </w:r>
          </w:p>
        </w:tc>
        <w:tc>
          <w:tcPr>
            <w:tcW w:w="385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一、门诊优惠。1.免挂号费。2.门诊医疗费（扣除药品）医保结算后自付部分8折。3.健康体检套餐费用8折。</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二、住院优待。住院医疗费医保结算后自付部分8折。</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备注:立功退役军人（三等功以上荣誉）、残疾退役军人医保结算后自付部分优惠30%。</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三、退役军人“家属”优待。1.门诊（扣除药品）、住院医疗费医保结算后自付部分9折。</w:t>
            </w:r>
          </w:p>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备注:有立功退役军人、残疾退役军人“家属”住院医疗费医保结算后自付部分优惠15%。</w:t>
            </w:r>
          </w:p>
        </w:tc>
        <w:tc>
          <w:tcPr>
            <w:tcW w:w="1188" w:type="dxa"/>
            <w:tcBorders>
              <w:top w:val="single" w:sz="4" w:space="0" w:color="auto"/>
              <w:left w:val="single" w:sz="4" w:space="0" w:color="auto"/>
              <w:bottom w:val="single" w:sz="4" w:space="0" w:color="auto"/>
              <w:right w:val="single" w:sz="4" w:space="0" w:color="auto"/>
            </w:tcBorders>
            <w:noWrap/>
            <w:vAlign w:val="center"/>
          </w:tcPr>
          <w:p>
            <w:pPr>
              <w:jc w:val="cente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pPr>
            <w:r>
              <w:rPr>
                <w:rFonts w:ascii="仿宋_GB2312" w:eastAsia="仿宋_GB2312" w:cs="仿宋_GB2312" w:hint="eastAsia"/>
                <w:color w:val="000000"/>
                <w:kern w:val="2"/>
                <w:sz w:val="15"/>
                <w:szCs w:val="15"/>
                <w:vertAlign w:val="baseline"/>
                <w14:textFill>
                  <w14:solidFill>
                    <w14:srgbClr w14:val="000000"/>
                  </w14:solidFill>
                </w14:textFill>
                <w:lang w:val="en-US" w:eastAsia="zh-CN" w:bidi="ar-SA"/>
              </w:rPr>
              <w:t>面向全国优待证持证人</w:t>
            </w:r>
          </w:p>
        </w:tc>
      </w:tr>
    </w:tbl>
    <w:p>
      <w:pPr>
        <w:pStyle w:val="15"/>
        <w:tabs>
          <w:tab w:val="center" w:pos="4153"/>
          <w:tab w:val="right" w:pos="8306"/>
        </w:tabs>
        <w:rPr>
          <w:rFonts w:hint="eastAsia"/>
          <w:color w:val="000000"/>
          <w14:textFill>
            <w14:solidFill>
              <w14:srgbClr w14:val="000000"/>
            </w14:solidFill>
          </w14:textFill>
          <w:lang w:eastAsia="zh-CN"/>
        </w:rPr>
      </w:pPr>
    </w:p>
    <w:p>
      <w:pPr>
        <w:jc w:val="both"/>
        <w:rPr>
          <w:rFonts w:hint="eastAsia"/>
          <w:color w:val="000000"/>
          <w14:textFill>
            <w14:solidFill>
              <w14:srgbClr w14:val="000000"/>
            </w14:solidFill>
          </w14:textFill>
          <w:lang w:eastAsia="zh-CN"/>
        </w:rPr>
      </w:pPr>
    </w:p>
    <w:sectPr>
      <w:footerReference w:type="default" r:id="rId2"/>
      <w:pgSz w:w="11906" w:h="16838"/>
      <w:pgMar w:top="2098" w:right="1474" w:bottom="1984" w:left="1587"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_GB2312">
    <w:altName w:val="仿宋"/>
    <w:panose1 w:val="02010609030101010101"/>
    <w:charset w:val="86"/>
    <w:family w:val="auto"/>
    <w:pitch w:val="variable"/>
    <w:sig w:usb0="00000001" w:usb1="080E0000" w:usb2="00000000" w:usb3="00000000" w:csb0="00040000" w:csb1="00000000"/>
  </w:font>
  <w:font w:name="Times New Roman">
    <w:panose1 w:val="02020603050405020304"/>
    <w:charset w:val="86"/>
    <w:family w:val="auto"/>
    <w:pitch w:val="variable"/>
    <w:sig w:usb0="E0000AFF" w:usb1="00007843" w:usb2="00000001" w:usb3="00000000" w:csb0="400001BF" w:csb1="DFF70000"/>
  </w:font>
  <w:font w:name="宋体">
    <w:panose1 w:val="02010600030101010101"/>
    <w:charset w:val="86"/>
    <w:family w:val="auto"/>
    <w:pitch w:val="variable"/>
    <w:sig w:usb0="00000003" w:usb1="288F0000" w:usb2="00000006" w:usb3="00000000" w:csb0="00040001" w:csb1="00000000"/>
  </w:font>
  <w:font w:name="方正小标宋简体">
    <w:altName w:val="Microsoft YaHei UI"/>
    <w:panose1 w:val="03000509000000000000"/>
    <w:charset w:val="86"/>
    <w:family w:val="auto"/>
    <w:pitch w:val="variable"/>
    <w:sig w:usb0="00000001" w:usb1="080E0000" w:usb2="00000000" w:usb3="00000000" w:csb0="00040000" w:csb1="00000000"/>
  </w:font>
  <w:font w:name="楷体_GB2312">
    <w:altName w:val="楷体"/>
    <w:panose1 w:val="02010609030101010101"/>
    <w:charset w:val="86"/>
    <w:family w:val="modern"/>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5"/>
      <w:tabs>
        <w:tab w:val="center" w:pos="4153"/>
        <w:tab w:val="right" w:pos="8306"/>
      </w:tabs>
    </w:pPr>
    <w:r>
      <w:rPr>
        <w:sz w:val="18"/>
      </w:rPr>
      <mc:AlternateContent>
        <mc:Choice Requires="wps">
          <w:drawing>
            <wp:anchor distT="0" distB="0" distL="114298" distR="114298" simplePos="0" relativeHeight="12" behindDoc="0" locked="0" layoutInCell="1" hidden="0" allowOverlap="1">
              <wp:simplePos x="0" y="0"/>
              <wp:positionH relativeFrom="margin">
                <wp:align>center</wp:align>
              </wp:positionH>
              <wp:positionV relativeFrom="paragraph">
                <wp:posOffset>0</wp:posOffset>
              </wp:positionV>
              <wp:extent cx="444500" cy="230251"/>
              <wp:effectExtent l="0" t="0" r="0" b="0"/>
              <wp:wrapNone/>
              <wp:docPr id="1" name="文本框 1"/>
              <wp:cNvGraphicFramePr>
                <a:graphicFrameLocks noChangeAspect="0"/>
              </wp:cNvGraphicFramePr>
              <a:graphic>
                <a:graphicData uri="http://schemas.microsoft.com/office/word/2010/wordprocessingShape">
                  <wps:wsp>
                    <wps:cNvSpPr/>
                    <wps:spPr>
                      <a:xfrm rot="0">
                        <a:off x="0" y="0"/>
                        <a:ext cx="444500" cy="230251"/>
                      </a:xfrm>
                      <a:prstGeom prst="rect"/>
                      <a:noFill/>
                      <a:ln w="6350" cmpd="sng" cap="flat">
                        <a:noFill/>
                        <a:prstDash val="solid"/>
                        <a:round/>
                      </a:ln>
                    </wps:spPr>
                    <wps:txbx id="2">
                      <w:txbxContent>
                        <w:p>
                          <w:pPr>
                            <w:pStyle w:val="15"/>
                            <w:tabs>
                              <w:tab w:val="center" w:pos="4153"/>
                              <w:tab w:val="right" w:pos="8306"/>
                            </w:tabs>
                            <w:rPr>
                              <w:rFonts w:ascii="宋体" w:eastAsia="宋体" w:cs="宋体" w:hint="eastAsia"/>
                              <w:sz w:val="28"/>
                              <w:szCs w:val="28"/>
                              <w:lang w:eastAsia="zh-CN"/>
                            </w:rPr>
                          </w:pPr>
                          <w:r>
                            <w:rPr>
                              <w:rFonts w:ascii="仿宋_GB2312" w:eastAsia="仿宋_GB2312" w:cs="仿宋_GB2312" w:hint="eastAsia"/>
                              <w:sz w:val="28"/>
                              <w:szCs w:val="28"/>
                              <w:lang w:eastAsia="zh-CN"/>
                            </w:rPr>
                            <w:t>—</w:t>
                          </w:r>
                          <w:r>
                            <w:rPr>
                              <w:rFonts w:ascii="Times New Roman" w:eastAsia="宋体" w:cs="Times New Roman" w:hAnsi="Times New Roman"/>
                              <w:sz w:val="28"/>
                              <w:szCs w:val="28"/>
                            </w:rPr>
                            <w:fldChar w:fldCharType="begin"/>
                          </w:r>
                          <w:r>
                            <w:rPr>
                              <w:rFonts w:ascii="Times New Roman" w:eastAsia="宋体" w:cs="Times New Roman" w:hAnsi="Times New Roman"/>
                              <w:sz w:val="28"/>
                              <w:szCs w:val="28"/>
                            </w:rPr>
                            <w:instrText xml:space="preserve"> PAGE  \* MERGEFORMAT </w:instrText>
                          </w:r>
                          <w:r>
                            <w:rPr>
                              <w:rFonts w:ascii="Times New Roman" w:eastAsia="宋体" w:cs="Times New Roman" w:hAnsi="Times New Roman"/>
                              <w:sz w:val="28"/>
                              <w:szCs w:val="28"/>
                            </w:rPr>
                            <w:fldChar w:fldCharType="separate"/>
                          </w:r>
                          <w:r>
                            <w:rPr>
                              <w:rFonts w:ascii="Times New Roman" w:eastAsia="宋体" w:cs="Times New Roman" w:hAnsi="Times New Roman"/>
                              <w:sz w:val="28"/>
                              <w:szCs w:val="28"/>
                            </w:rPr>
                            <w:t>1</w:t>
                          </w:r>
                          <w:r>
                            <w:rPr>
                              <w:rFonts w:ascii="Times New Roman" w:eastAsia="宋体" w:cs="Times New Roman" w:hAnsi="Times New Roman"/>
                              <w:sz w:val="28"/>
                              <w:szCs w:val="28"/>
                            </w:rPr>
                            <w:fldChar w:fldCharType="end"/>
                          </w:r>
                          <w:r>
                            <w:rPr>
                              <w:rFonts w:ascii="仿宋_GB2312" w:eastAsia="仿宋_GB2312" w:cs="仿宋_GB2312" w:hint="eastAsia"/>
                              <w:sz w:val="28"/>
                              <w:szCs w:val="28"/>
                              <w:lang w:eastAsia="zh-CN"/>
                            </w:rPr>
                            <w:t>—</w:t>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35.000008pt;height:18.130003pt;z-index:12;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5"/>
                      <w:tabs>
                        <w:tab w:val="center" w:pos="4153"/>
                        <w:tab w:val="right" w:pos="8306"/>
                      </w:tabs>
                      <w:rPr>
                        <w:rFonts w:ascii="宋体" w:eastAsia="宋体" w:cs="宋体" w:hint="eastAsia"/>
                        <w:sz w:val="28"/>
                        <w:szCs w:val="28"/>
                        <w:lang w:eastAsia="zh-CN"/>
                      </w:rPr>
                    </w:pPr>
                    <w:r>
                      <w:rPr>
                        <w:rFonts w:ascii="仿宋_GB2312" w:eastAsia="仿宋_GB2312" w:cs="仿宋_GB2312" w:hint="eastAsia"/>
                        <w:sz w:val="28"/>
                        <w:szCs w:val="28"/>
                        <w:lang w:eastAsia="zh-CN"/>
                      </w:rPr>
                      <w:t>—</w:t>
                    </w:r>
                    <w:r>
                      <w:rPr>
                        <w:rFonts w:ascii="Times New Roman" w:eastAsia="宋体" w:cs="Times New Roman" w:hAnsi="Times New Roman"/>
                        <w:sz w:val="28"/>
                        <w:szCs w:val="28"/>
                      </w:rPr>
                      <w:fldChar w:fldCharType="begin"/>
                    </w:r>
                    <w:r>
                      <w:rPr>
                        <w:rFonts w:ascii="Times New Roman" w:eastAsia="宋体" w:cs="Times New Roman" w:hAnsi="Times New Roman"/>
                        <w:sz w:val="28"/>
                        <w:szCs w:val="28"/>
                      </w:rPr>
                      <w:instrText xml:space="preserve"> PAGE  \* MERGEFORMAT </w:instrText>
                    </w:r>
                    <w:r>
                      <w:rPr>
                        <w:rFonts w:ascii="Times New Roman" w:eastAsia="宋体" w:cs="Times New Roman" w:hAnsi="Times New Roman"/>
                        <w:sz w:val="28"/>
                        <w:szCs w:val="28"/>
                      </w:rPr>
                      <w:fldChar w:fldCharType="separate"/>
                    </w:r>
                    <w:r>
                      <w:rPr>
                        <w:rFonts w:ascii="Times New Roman" w:eastAsia="宋体" w:cs="Times New Roman" w:hAnsi="Times New Roman"/>
                        <w:sz w:val="28"/>
                        <w:szCs w:val="28"/>
                      </w:rPr>
                      <w:t>1</w:t>
                    </w:r>
                    <w:r>
                      <w:rPr>
                        <w:rFonts w:ascii="Times New Roman" w:eastAsia="宋体" w:cs="Times New Roman" w:hAnsi="Times New Roman"/>
                        <w:sz w:val="28"/>
                        <w:szCs w:val="28"/>
                      </w:rPr>
                      <w:fldChar w:fldCharType="end"/>
                    </w:r>
                    <w:r>
                      <w:rPr>
                        <w:rFonts w:ascii="仿宋_GB2312" w:eastAsia="仿宋_GB2312" w:cs="仿宋_GB2312" w:hint="eastAsia"/>
                        <w:sz w:val="28"/>
                        <w:szCs w:val="28"/>
                        <w:lang w:eastAsia="zh-CN"/>
                      </w:rPr>
                      <w:t>—</w:t>
                    </w:r>
                  </w:p>
                </w:txbxContent>
              </v:textbox>
            </v:shape>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NWYyMTRmZTQ5ZTM3ZTdmOTQwOTY4ZmE0OWJmNzFmOTQ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qFormat/>
    <w:next w:val="15"/>
    <w:pPr>
      <w:widowControl w:val="0"/>
      <w:jc w:val="both"/>
    </w:pPr>
    <w:rPr>
      <w:rFonts w:ascii="Calibri" w:eastAsia="宋体" w:cs="Arial" w:hAnsi="Calibri"/>
      <w:kern w:val="2"/>
      <w:sz w:val="21"/>
      <w:szCs w:val="24"/>
      <w:lang w:val="en-US" w:eastAsia="zh-CN" w:bidi="ar-SA"/>
    </w:rPr>
  </w:style>
  <w:style w:type="paragraph" w:styleId="1">
    <w:name w:val="heading 1"/>
    <w:qFormat/>
    <w:basedOn w:val="0"/>
    <w:next w:val="0"/>
    <w:pPr>
      <w:keepNext/>
      <w:keepLines/>
      <w:spacing w:before="340" w:after="330" w:line="578" w:lineRule="auto"/>
      <w:outlineLvl w:val="0"/>
    </w:pPr>
    <w:rPr>
      <w:b/>
      <w:bCs/>
      <w:kern w:val="44"/>
      <w:sz w:val="44"/>
    </w:rPr>
  </w:style>
  <w:style w:type="paragraph" w:styleId="2">
    <w:name w:val="heading 2"/>
    <w:qFormat/>
    <w:basedOn w:val="0"/>
    <w:next w:val="0"/>
    <w:pPr>
      <w:keepNext/>
      <w:keepLines/>
      <w:spacing w:before="260" w:after="260" w:line="415" w:lineRule="auto"/>
      <w:outlineLvl w:val="1"/>
    </w:pPr>
    <w:rPr>
      <w:rFonts w:ascii="Times New Roman" w:eastAsia="黑体" w:hAnsi="Times New Roman"/>
      <w:b/>
      <w:sz w:val="32"/>
    </w:rPr>
  </w:style>
  <w:style w:type="paragraph" w:styleId="3">
    <w:name w:val="heading 3"/>
    <w:qFormat/>
    <w:basedOn w:val="0"/>
    <w:next w:val="0"/>
    <w:pPr>
      <w:keepNext/>
      <w:keepLines/>
      <w:spacing w:before="260" w:after="260" w:line="415" w:lineRule="auto"/>
      <w:outlineLvl w:val="2"/>
    </w:pPr>
    <w:rPr>
      <w:b/>
      <w:sz w:val="32"/>
    </w:rPr>
  </w:style>
  <w:style w:type="character" w:default="1" w:styleId="10">
    <w:name w:val="Default Paragraph Font"/>
    <w:qFormat/>
  </w:style>
  <w:style w:type="paragraph" w:styleId="15">
    <w:name w:val="footer"/>
    <w:qFormat/>
    <w:basedOn w:val="0"/>
    <w:pPr>
      <w:tabs>
        <w:tab w:val="center" w:pos="4153"/>
        <w:tab w:val="right" w:pos="8306"/>
      </w:tabs>
      <w:snapToGrid w:val="0"/>
      <w:jc w:val="left"/>
    </w:pPr>
    <w:rPr>
      <w:sz w:val="18"/>
    </w:rPr>
  </w:style>
  <w:style w:type="paragraph" w:styleId="16">
    <w:name w:val="header"/>
    <w:qFormat/>
    <w:basedOn w:val="0"/>
    <w:pPr>
      <w:pBdr>
        <w:top w:val="none" w:sz="0" w:space="0" w:color="auto"/>
        <w:left w:val="none" w:sz="0" w:space="0" w:color="auto"/>
        <w:bottom w:val="none" w:sz="0" w:space="0" w:color="auto"/>
        <w:right w:val="none" w:sz="0" w:space="0" w:color="auto"/>
      </w:pBdr>
      <w:tabs>
        <w:tab w:val="center" w:pos="4153"/>
        <w:tab w:val="right" w:pos="8306"/>
      </w:tabs>
      <w:snapToGrid w:val="0"/>
      <w:spacing w:line="240" w:lineRule="auto"/>
      <w:jc w:val="both"/>
      <w:outlineLvl w:val="9"/>
    </w:pPr>
    <w:rPr>
      <w:sz w:val="18"/>
    </w:rPr>
  </w:style>
  <w:style w:type="paragraph" w:styleId="17">
    <w:name w:val="Normal (Web)"/>
    <w:qFormat/>
    <w:basedOn w:val="0"/>
    <w:pPr>
      <w:spacing w:before="0" w:beforeAutospacing="1" w:after="0" w:afterAutospacing="1"/>
      <w:ind w:left="0" w:right="0"/>
      <w:jc w:val="left"/>
    </w:pPr>
    <w:rPr>
      <w:kern w:val="0"/>
      <w:sz w:val="24"/>
      <w:lang w:val="en-US" w:eastAsia="zh-CN"/>
    </w:rPr>
  </w:style>
  <w:style w:type="character" w:styleId="18">
    <w:name w:val="Strong"/>
    <w:qFormat/>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23</TotalTime>
  <Application>Yozo_Office27021597764231180</Application>
  <Pages>11</Pages>
  <Words>0</Words>
  <Characters>6266</Characters>
  <Lines>0</Lines>
  <Paragraphs>37</Paragraphs>
  <CharactersWithSpaces>8355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alx</dc:creator>
  <cp:lastModifiedBy>Lenovo</cp:lastModifiedBy>
  <cp:revision>1</cp:revision>
  <cp:lastPrinted>2023-08-01T02:35:00Z</cp:lastPrinted>
  <dcterms:created xsi:type="dcterms:W3CDTF">2023-07-31T08:56:00Z</dcterms:created>
  <dcterms:modified xsi:type="dcterms:W3CDTF">2023-08-01T09:55:02Z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2052-12.1.0.15120</vt:lpwstr>
  </property>
  <property fmtid="{D5CDD505-2E9C-101B-9397-08002B2CF9AE}" pid="3" name="ICV">
    <vt:lpwstr>5FC34469E0D44E8D9DE24D229630623E_13</vt:lpwstr>
  </property>
</Properties>
</file>